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75B05" w14:textId="43A3D4FC" w:rsidR="007B5086" w:rsidRPr="00A5292B" w:rsidRDefault="000A2F0C" w:rsidP="007B5086">
      <w:pPr>
        <w:rPr>
          <w:rFonts w:ascii="Times New Roman" w:hAnsi="Times New Roman" w:cs="Times New Roman"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Materials: Phenotypic Clustering and Model Validation</w:t>
      </w:r>
    </w:p>
    <w:p w14:paraId="636E54CF" w14:textId="6A46EAAE" w:rsidR="00311AD2" w:rsidRDefault="009D5291" w:rsidP="002F1C6E">
      <w:pPr>
        <w:rPr>
          <w:rFonts w:ascii="Times New Roman" w:eastAsia="宋体" w:hAnsi="Times New Roman" w:cs="Times New Roman"/>
          <w:kern w:val="0"/>
          <w:sz w:val="21"/>
          <w:szCs w:val="21"/>
        </w:rPr>
      </w:pPr>
      <w:r w:rsidRPr="009D5291">
        <w:rPr>
          <w:rFonts w:ascii="Times New Roman" w:eastAsia="宋体" w:hAnsi="Times New Roman" w:cs="Times New Roman" w:hint="eastAsia"/>
          <w:kern w:val="0"/>
          <w:sz w:val="21"/>
          <w:szCs w:val="21"/>
        </w:rPr>
        <w:t>An unsupervised machine learning pipeline identified clinical and metabolic phenotypes associated with epicardial adiposity.</w:t>
      </w:r>
    </w:p>
    <w:p w14:paraId="2396C2F7" w14:textId="77777777" w:rsidR="009D5291" w:rsidRPr="002F1C6E" w:rsidRDefault="009D5291" w:rsidP="002F1C6E">
      <w:pPr>
        <w:rPr>
          <w:rFonts w:ascii="Times New Roman" w:eastAsia="宋体" w:hAnsi="Times New Roman" w:cs="Times New Roman"/>
          <w:kern w:val="0"/>
          <w:sz w:val="21"/>
          <w:szCs w:val="21"/>
        </w:rPr>
      </w:pPr>
    </w:p>
    <w:p w14:paraId="1BCD1C23" w14:textId="3D959F6A" w:rsidR="000911C6" w:rsidRPr="00A5292B" w:rsidRDefault="00EB7AA0" w:rsidP="00271E13">
      <w:pPr>
        <w:rPr>
          <w:rFonts w:ascii="Times New Roman" w:hAnsi="Times New Roman" w:cs="Times New Roman"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Supplementary </w:t>
      </w:r>
      <w:r w:rsidR="00895ED4" w:rsidRPr="00A5292B">
        <w:rPr>
          <w:rFonts w:ascii="Times New Roman" w:hAnsi="Times New Roman" w:cs="Times New Roman"/>
          <w:b/>
          <w:bCs/>
          <w:sz w:val="21"/>
          <w:szCs w:val="21"/>
        </w:rPr>
        <w:t>Fig</w:t>
      </w:r>
      <w:r w:rsidR="00294B2C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="00895ED4"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1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>. K-means Clustering and Optimal Cluster Selection</w:t>
      </w:r>
      <w:r w:rsidR="00CE48FB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34C0894C" wp14:editId="75B57A08">
            <wp:extent cx="5268595" cy="421259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421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BA4CA" w14:textId="5097B7C1" w:rsidR="00FC7CA3" w:rsidRDefault="00294B2C">
      <w:pPr>
        <w:rPr>
          <w:rFonts w:ascii="Times New Roman" w:hAnsi="Times New Roman" w:cs="Times New Roman"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Fig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1</w:t>
      </w:r>
      <w:r w:rsidR="003450DF" w:rsidRPr="003450DF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3450DF" w:rsidRPr="003450DF">
        <w:rPr>
          <w:rFonts w:ascii="Times New Roman" w:hAnsi="Times New Roman" w:cs="Times New Roman" w:hint="eastAsia"/>
          <w:sz w:val="21"/>
          <w:szCs w:val="21"/>
        </w:rPr>
        <w:t>Unsupervised machine learning-based phenotypic clustering (</w:t>
      </w:r>
      <w:r w:rsidR="003450DF" w:rsidRPr="00D51897">
        <w:rPr>
          <w:rFonts w:ascii="Times New Roman" w:hAnsi="Times New Roman" w:cs="Times New Roman" w:hint="eastAsia"/>
          <w:i/>
          <w:iCs/>
          <w:sz w:val="21"/>
          <w:szCs w:val="21"/>
        </w:rPr>
        <w:t>n</w:t>
      </w:r>
      <w:r w:rsidR="00D51897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3450DF" w:rsidRPr="003450DF">
        <w:rPr>
          <w:rFonts w:ascii="Times New Roman" w:hAnsi="Times New Roman" w:cs="Times New Roman" w:hint="eastAsia"/>
          <w:sz w:val="21"/>
          <w:szCs w:val="21"/>
        </w:rPr>
        <w:t>=</w:t>
      </w:r>
      <w:r w:rsidR="00D51897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3450DF" w:rsidRPr="003450DF">
        <w:rPr>
          <w:rFonts w:ascii="Times New Roman" w:hAnsi="Times New Roman" w:cs="Times New Roman" w:hint="eastAsia"/>
          <w:sz w:val="21"/>
          <w:szCs w:val="21"/>
        </w:rPr>
        <w:t xml:space="preserve">155). K-means algorithm partitioned the cohort using multidimensional features: EAT characteristics (LAAV%, HAAV%, </w:t>
      </w:r>
      <w:proofErr w:type="spellStart"/>
      <w:r w:rsidR="003450DF" w:rsidRPr="003450DF">
        <w:rPr>
          <w:rFonts w:ascii="Times New Roman" w:hAnsi="Times New Roman" w:cs="Times New Roman" w:hint="eastAsia"/>
          <w:sz w:val="21"/>
          <w:szCs w:val="21"/>
        </w:rPr>
        <w:t>EFVi</w:t>
      </w:r>
      <w:proofErr w:type="spellEnd"/>
      <w:r w:rsidR="003450DF" w:rsidRPr="003450DF">
        <w:rPr>
          <w:rFonts w:ascii="Times New Roman" w:hAnsi="Times New Roman" w:cs="Times New Roman" w:hint="eastAsia"/>
          <w:sz w:val="21"/>
          <w:szCs w:val="21"/>
        </w:rPr>
        <w:t>) and metabolic markers (BMI, HbA1c, TG). Optimal cluster number (</w:t>
      </w:r>
      <w:r w:rsidR="003450DF" w:rsidRPr="00D51897">
        <w:rPr>
          <w:rFonts w:ascii="Times New Roman" w:hAnsi="Times New Roman" w:cs="Times New Roman" w:hint="eastAsia"/>
          <w:i/>
          <w:iCs/>
          <w:sz w:val="21"/>
          <w:szCs w:val="21"/>
        </w:rPr>
        <w:t>k</w:t>
      </w:r>
      <w:r w:rsidR="00D51897">
        <w:rPr>
          <w:rFonts w:ascii="Times New Roman" w:hAnsi="Times New Roman" w:cs="Times New Roman" w:hint="eastAsia"/>
          <w:i/>
          <w:iCs/>
          <w:sz w:val="21"/>
          <w:szCs w:val="21"/>
        </w:rPr>
        <w:t xml:space="preserve"> </w:t>
      </w:r>
      <w:r w:rsidR="003450DF" w:rsidRPr="003450DF">
        <w:rPr>
          <w:rFonts w:ascii="Times New Roman" w:hAnsi="Times New Roman" w:cs="Times New Roman" w:hint="eastAsia"/>
          <w:sz w:val="21"/>
          <w:szCs w:val="21"/>
        </w:rPr>
        <w:t>=</w:t>
      </w:r>
      <w:r w:rsidR="00D51897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3450DF" w:rsidRPr="003450DF">
        <w:rPr>
          <w:rFonts w:ascii="Times New Roman" w:hAnsi="Times New Roman" w:cs="Times New Roman" w:hint="eastAsia"/>
          <w:sz w:val="21"/>
          <w:szCs w:val="21"/>
        </w:rPr>
        <w:t>2) followed elbow method and silhouette analysis. Spatial segregation distinguishes low-risk (Cluster 1) from high-risk (Cluster 2) phenotypes.</w:t>
      </w:r>
    </w:p>
    <w:p w14:paraId="54229BE1" w14:textId="77777777" w:rsidR="003450DF" w:rsidRPr="00A5292B" w:rsidRDefault="003450DF">
      <w:pPr>
        <w:rPr>
          <w:rFonts w:ascii="Times New Roman" w:hAnsi="Times New Roman" w:cs="Times New Roman"/>
          <w:sz w:val="21"/>
          <w:szCs w:val="21"/>
        </w:rPr>
      </w:pPr>
    </w:p>
    <w:p w14:paraId="0D523E14" w14:textId="7822F069" w:rsidR="003F31D4" w:rsidRPr="00A5292B" w:rsidRDefault="00294B2C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Fig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C676CB" w:rsidRPr="00A5292B">
        <w:rPr>
          <w:rFonts w:ascii="Times New Roman" w:hAnsi="Times New Roman" w:cs="Times New Roman"/>
          <w:b/>
          <w:bCs/>
          <w:sz w:val="21"/>
          <w:szCs w:val="21"/>
        </w:rPr>
        <w:t>2. PCA Loadings and Feature Importance</w:t>
      </w:r>
      <w:r w:rsidR="00CE48FB">
        <w:rPr>
          <w:rFonts w:ascii="Times New Roman" w:hAnsi="Times New Roman" w:cs="Times New Roman"/>
          <w:b/>
          <w:bCs/>
          <w:noProof/>
          <w:sz w:val="21"/>
          <w:szCs w:val="21"/>
        </w:rPr>
        <w:lastRenderedPageBreak/>
        <w:drawing>
          <wp:inline distT="0" distB="0" distL="0" distR="0" wp14:anchorId="234DBD56" wp14:editId="26430F7A">
            <wp:extent cx="5268595" cy="421259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421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45D7B" w14:textId="1271767C" w:rsidR="007A002B" w:rsidRDefault="00294B2C">
      <w:pPr>
        <w:rPr>
          <w:rFonts w:ascii="Times New Roman" w:hAnsi="Times New Roman" w:cs="Times New Roman"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Fig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0541CE" w:rsidRPr="00A5292B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F174CD" w:rsidRPr="00F174CD">
        <w:rPr>
          <w:rFonts w:ascii="Times New Roman" w:hAnsi="Times New Roman" w:cs="Times New Roman" w:hint="eastAsia"/>
          <w:sz w:val="21"/>
          <w:szCs w:val="21"/>
        </w:rPr>
        <w:t>PCA loading plot identifying primary phenotypic drivers. Vector direction and length represent individual variable contributions. Notably, "LAAV percent</w:t>
      </w:r>
      <w:r w:rsidR="00A04AD0">
        <w:rPr>
          <w:rFonts w:ascii="Times New Roman" w:hAnsi="Times New Roman" w:cs="Times New Roman" w:hint="eastAsia"/>
          <w:sz w:val="21"/>
          <w:szCs w:val="21"/>
        </w:rPr>
        <w:t xml:space="preserve"> (LAAV%)</w:t>
      </w:r>
      <w:r w:rsidR="00F174CD" w:rsidRPr="00F174CD">
        <w:rPr>
          <w:rFonts w:ascii="Times New Roman" w:hAnsi="Times New Roman" w:cs="Times New Roman" w:hint="eastAsia"/>
          <w:sz w:val="21"/>
          <w:szCs w:val="21"/>
        </w:rPr>
        <w:t>" exhibits a dominant loading vector along Dim1</w:t>
      </w:r>
      <w:r w:rsidR="00F174CD" w:rsidRPr="00F174CD">
        <w:rPr>
          <w:rFonts w:ascii="Times New Roman" w:hAnsi="Times New Roman" w:cs="Times New Roman" w:hint="eastAsia"/>
          <w:sz w:val="21"/>
          <w:szCs w:val="21"/>
        </w:rPr>
        <w:t>—</w:t>
      </w:r>
      <w:r w:rsidR="00F174CD" w:rsidRPr="00F174CD">
        <w:rPr>
          <w:rFonts w:ascii="Times New Roman" w:hAnsi="Times New Roman" w:cs="Times New Roman" w:hint="eastAsia"/>
          <w:sz w:val="21"/>
          <w:szCs w:val="21"/>
        </w:rPr>
        <w:t>confirming its central role in characterizing the high-risk cluster. These results position LAAV% as a key "metabolic footprint" of adipose-cardiovascular crosstalk.</w:t>
      </w:r>
    </w:p>
    <w:p w14:paraId="0DC312E9" w14:textId="77777777" w:rsidR="00CD4329" w:rsidRPr="00A5292B" w:rsidRDefault="00CD4329">
      <w:pPr>
        <w:rPr>
          <w:rFonts w:ascii="Times New Roman" w:hAnsi="Times New Roman" w:cs="Times New Roman"/>
          <w:sz w:val="21"/>
          <w:szCs w:val="21"/>
        </w:rPr>
      </w:pPr>
    </w:p>
    <w:p w14:paraId="10F119E4" w14:textId="59AD83C6" w:rsidR="003F4B33" w:rsidRPr="00A5292B" w:rsidRDefault="00294B2C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Fig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3</w:t>
      </w:r>
      <w:r w:rsidR="00545E24" w:rsidRPr="00A5292B">
        <w:rPr>
          <w:rFonts w:ascii="Times New Roman" w:hAnsi="Times New Roman" w:cs="Times New Roman" w:hint="eastAsia"/>
          <w:b/>
          <w:bCs/>
          <w:sz w:val="21"/>
          <w:szCs w:val="21"/>
        </w:rPr>
        <w:t>. Comparative Diagnostic Performance</w:t>
      </w:r>
      <w:r w:rsidR="00CE48FB">
        <w:rPr>
          <w:rFonts w:ascii="Times New Roman" w:hAnsi="Times New Roman" w:cs="Times New Roman" w:hint="eastAsia"/>
          <w:b/>
          <w:bCs/>
          <w:noProof/>
          <w:sz w:val="21"/>
          <w:szCs w:val="21"/>
        </w:rPr>
        <w:lastRenderedPageBreak/>
        <w:drawing>
          <wp:inline distT="0" distB="0" distL="0" distR="0" wp14:anchorId="546C5157" wp14:editId="43FEEFD1">
            <wp:extent cx="5268595" cy="4212590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421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1DC19" w14:textId="2594C555" w:rsidR="00837520" w:rsidRDefault="00294B2C">
      <w:pPr>
        <w:rPr>
          <w:rFonts w:ascii="Times New Roman" w:hAnsi="Times New Roman" w:cs="Times New Roman"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>Supplementary Fig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3</w:t>
      </w:r>
      <w:r w:rsidR="008A4EDE" w:rsidRPr="00A5292B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2C5C57" w:rsidRPr="002C5C57">
        <w:rPr>
          <w:rFonts w:ascii="Times New Roman" w:hAnsi="Times New Roman" w:cs="Times New Roman" w:hint="eastAsia"/>
          <w:sz w:val="21"/>
          <w:szCs w:val="21"/>
        </w:rPr>
        <w:t>ROC analysis for Cluster 2 identification. Comparative evaluation of LAAV%, BMI, and TG. While metabolic markers (TG and BMI) show high diagnostic performance (AUC: 0.806 and 0.796), LAAV% remains a significant imaging biomarker (AUC: 0.718) for phenotype stratification. Data support integrating EAT subcomponents into traditional risk assessments to enhance high-risk CMD identification.</w:t>
      </w:r>
    </w:p>
    <w:p w14:paraId="2EDE318D" w14:textId="77777777" w:rsidR="00234EDE" w:rsidRPr="00A5292B" w:rsidRDefault="00234ED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14:paraId="516A7899" w14:textId="57630374" w:rsidR="0057039F" w:rsidRPr="00A5292B" w:rsidRDefault="0057039F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A5292B">
        <w:rPr>
          <w:rFonts w:ascii="Times New Roman" w:hAnsi="Times New Roman" w:cs="Times New Roman" w:hint="eastAsia"/>
          <w:b/>
          <w:bCs/>
          <w:sz w:val="21"/>
          <w:szCs w:val="21"/>
        </w:rPr>
        <w:t>Supplementary Table 1. Cluster Characterization</w:t>
      </w:r>
    </w:p>
    <w:tbl>
      <w:tblPr>
        <w:tblStyle w:val="af2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578"/>
        <w:gridCol w:w="1540"/>
        <w:gridCol w:w="940"/>
      </w:tblGrid>
      <w:tr w:rsidR="006F0B46" w:rsidRPr="00A616DF" w14:paraId="11C657B3" w14:textId="77777777" w:rsidTr="00782AB5">
        <w:trPr>
          <w:trHeight w:val="292"/>
          <w:jc w:val="center"/>
        </w:trPr>
        <w:tc>
          <w:tcPr>
            <w:tcW w:w="2127" w:type="dxa"/>
            <w:tcBorders>
              <w:top w:val="single" w:sz="12" w:space="0" w:color="auto"/>
              <w:bottom w:val="single" w:sz="2" w:space="0" w:color="auto"/>
            </w:tcBorders>
            <w:noWrap/>
            <w:hideMark/>
          </w:tcPr>
          <w:p w14:paraId="41E62ED6" w14:textId="77777777" w:rsidR="006F0B46" w:rsidRPr="00A616DF" w:rsidRDefault="006F0B46" w:rsidP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Variable</w:t>
            </w:r>
          </w:p>
        </w:tc>
        <w:tc>
          <w:tcPr>
            <w:tcW w:w="1578" w:type="dxa"/>
            <w:tcBorders>
              <w:top w:val="single" w:sz="12" w:space="0" w:color="auto"/>
              <w:bottom w:val="single" w:sz="2" w:space="0" w:color="auto"/>
            </w:tcBorders>
            <w:noWrap/>
            <w:hideMark/>
          </w:tcPr>
          <w:p w14:paraId="369FABFF" w14:textId="0C46F9E0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Cluster1</w:t>
            </w:r>
            <w:r w:rsidR="00462EC9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462EC9" w:rsidRPr="00462EC9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="00462EC9" w:rsidRPr="00462EC9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="00462EC9" w:rsidRPr="00462EC9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= 94)</w:t>
            </w:r>
          </w:p>
        </w:tc>
        <w:tc>
          <w:tcPr>
            <w:tcW w:w="1540" w:type="dxa"/>
            <w:tcBorders>
              <w:top w:val="single" w:sz="12" w:space="0" w:color="auto"/>
              <w:bottom w:val="single" w:sz="2" w:space="0" w:color="auto"/>
            </w:tcBorders>
            <w:noWrap/>
            <w:hideMark/>
          </w:tcPr>
          <w:p w14:paraId="269630D4" w14:textId="0C05C26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Cluster2</w:t>
            </w:r>
            <w:r w:rsidR="00782AB5" w:rsidRPr="00782AB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</w:t>
            </w:r>
            <w:r w:rsidR="00782AB5" w:rsidRPr="00782AB5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="00782AB5" w:rsidRPr="00782AB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= 61)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2" w:space="0" w:color="auto"/>
            </w:tcBorders>
            <w:noWrap/>
            <w:hideMark/>
          </w:tcPr>
          <w:p w14:paraId="6ADBEAA9" w14:textId="708B6AD3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</w:t>
            </w:r>
            <w:r w:rsidR="00BE22A0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value</w:t>
            </w:r>
          </w:p>
        </w:tc>
      </w:tr>
      <w:tr w:rsidR="006F0B46" w:rsidRPr="00A616DF" w14:paraId="735CF48B" w14:textId="77777777" w:rsidTr="00782AB5">
        <w:trPr>
          <w:trHeight w:val="292"/>
          <w:jc w:val="center"/>
        </w:trPr>
        <w:tc>
          <w:tcPr>
            <w:tcW w:w="2127" w:type="dxa"/>
            <w:tcBorders>
              <w:top w:val="single" w:sz="2" w:space="0" w:color="auto"/>
            </w:tcBorders>
            <w:noWrap/>
            <w:hideMark/>
          </w:tcPr>
          <w:p w14:paraId="011F1CB6" w14:textId="77777777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LAAV%</w:t>
            </w:r>
          </w:p>
        </w:tc>
        <w:tc>
          <w:tcPr>
            <w:tcW w:w="1578" w:type="dxa"/>
            <w:tcBorders>
              <w:top w:val="single" w:sz="2" w:space="0" w:color="auto"/>
            </w:tcBorders>
            <w:noWrap/>
            <w:hideMark/>
          </w:tcPr>
          <w:p w14:paraId="219D2BD0" w14:textId="230EE7E3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0.46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540" w:type="dxa"/>
            <w:tcBorders>
              <w:top w:val="single" w:sz="2" w:space="0" w:color="auto"/>
            </w:tcBorders>
            <w:noWrap/>
            <w:hideMark/>
          </w:tcPr>
          <w:p w14:paraId="25A69F29" w14:textId="412A7FE6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0.51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940" w:type="dxa"/>
            <w:tcBorders>
              <w:top w:val="single" w:sz="2" w:space="0" w:color="auto"/>
            </w:tcBorders>
            <w:noWrap/>
            <w:hideMark/>
          </w:tcPr>
          <w:p w14:paraId="0434A9A6" w14:textId="56DC713D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18258A0D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501E79A2" w14:textId="768C8D6B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EFVi</w:t>
            </w:r>
            <w:proofErr w:type="spellEnd"/>
            <w:r w:rsidR="003B0BE3" w:rsidRPr="003B0BE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(cm</w:t>
            </w:r>
            <w:r w:rsidR="003B0BE3" w:rsidRPr="003B0BE3">
              <w:rPr>
                <w:rFonts w:ascii="Times New Roman" w:hAnsi="Times New Roman" w:cs="Times New Roman" w:hint="eastAsia"/>
                <w:sz w:val="18"/>
                <w:szCs w:val="18"/>
                <w:vertAlign w:val="superscript"/>
              </w:rPr>
              <w:t>3</w:t>
            </w:r>
            <w:r w:rsidR="003B0BE3" w:rsidRPr="003B0BE3">
              <w:rPr>
                <w:rFonts w:ascii="Times New Roman" w:hAnsi="Times New Roman" w:cs="Times New Roman" w:hint="eastAsia"/>
                <w:sz w:val="18"/>
                <w:szCs w:val="18"/>
              </w:rPr>
              <w:t>/m</w:t>
            </w:r>
            <w:r w:rsidR="003B0BE3" w:rsidRPr="003B0BE3">
              <w:rPr>
                <w:rFonts w:ascii="Times New Roman" w:hAnsi="Times New Roman" w:cs="Times New Roman" w:hint="eastAsia"/>
                <w:sz w:val="18"/>
                <w:szCs w:val="18"/>
                <w:vertAlign w:val="superscript"/>
              </w:rPr>
              <w:t>2</w:t>
            </w:r>
            <w:r w:rsidR="003B0BE3" w:rsidRPr="003B0BE3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1578" w:type="dxa"/>
            <w:noWrap/>
            <w:hideMark/>
          </w:tcPr>
          <w:p w14:paraId="3C2D2B1F" w14:textId="2D94BDE2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42.45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10.34</w:t>
            </w:r>
          </w:p>
        </w:tc>
        <w:tc>
          <w:tcPr>
            <w:tcW w:w="1540" w:type="dxa"/>
            <w:noWrap/>
            <w:hideMark/>
          </w:tcPr>
          <w:p w14:paraId="2BDC13FD" w14:textId="4B1D1EC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44.85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8.16</w:t>
            </w:r>
          </w:p>
        </w:tc>
        <w:tc>
          <w:tcPr>
            <w:tcW w:w="940" w:type="dxa"/>
            <w:noWrap/>
            <w:hideMark/>
          </w:tcPr>
          <w:p w14:paraId="34F78E94" w14:textId="10C8C2B2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0.11</w:t>
            </w:r>
            <w:r w:rsidR="00B54296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</w:tc>
      </w:tr>
      <w:tr w:rsidR="006F0B46" w:rsidRPr="00A616DF" w14:paraId="02047B13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732DD6BB" w14:textId="7953CC74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BMI</w:t>
            </w:r>
            <w:r w:rsidR="00B54DD4" w:rsidRPr="00B54DD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(kg/m</w:t>
            </w:r>
            <w:r w:rsidR="00B54DD4" w:rsidRPr="00B54DD4">
              <w:rPr>
                <w:rFonts w:ascii="Times New Roman" w:hAnsi="Times New Roman" w:cs="Times New Roman" w:hint="eastAsia"/>
                <w:sz w:val="18"/>
                <w:szCs w:val="18"/>
                <w:vertAlign w:val="superscript"/>
              </w:rPr>
              <w:t>2</w:t>
            </w:r>
            <w:r w:rsidR="00B54DD4" w:rsidRPr="00B54DD4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1578" w:type="dxa"/>
            <w:noWrap/>
            <w:hideMark/>
          </w:tcPr>
          <w:p w14:paraId="4093C51C" w14:textId="38EA1284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23.21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1540" w:type="dxa"/>
            <w:noWrap/>
            <w:hideMark/>
          </w:tcPr>
          <w:p w14:paraId="7FFDA2B4" w14:textId="0AB21DE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25.85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2.44</w:t>
            </w:r>
          </w:p>
        </w:tc>
        <w:tc>
          <w:tcPr>
            <w:tcW w:w="940" w:type="dxa"/>
            <w:noWrap/>
            <w:hideMark/>
          </w:tcPr>
          <w:p w14:paraId="4057C3EF" w14:textId="642F2EB4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28FA1740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00F233D1" w14:textId="44EA6C38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AGE</w:t>
            </w:r>
            <w:r w:rsidR="00C76F97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4C6A02" w:rsidRPr="004C6A02">
              <w:rPr>
                <w:rFonts w:ascii="Times New Roman" w:hAnsi="Times New Roman" w:cs="Times New Roman" w:hint="eastAsia"/>
                <w:sz w:val="18"/>
                <w:szCs w:val="18"/>
              </w:rPr>
              <w:t>(years)</w:t>
            </w:r>
          </w:p>
        </w:tc>
        <w:tc>
          <w:tcPr>
            <w:tcW w:w="1578" w:type="dxa"/>
            <w:noWrap/>
            <w:hideMark/>
          </w:tcPr>
          <w:p w14:paraId="66BA76F9" w14:textId="0AC00FB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68.19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1540" w:type="dxa"/>
            <w:noWrap/>
            <w:hideMark/>
          </w:tcPr>
          <w:p w14:paraId="1A731914" w14:textId="40018AE4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60.13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8.97</w:t>
            </w:r>
          </w:p>
        </w:tc>
        <w:tc>
          <w:tcPr>
            <w:tcW w:w="940" w:type="dxa"/>
            <w:noWrap/>
            <w:hideMark/>
          </w:tcPr>
          <w:p w14:paraId="4C95C6D7" w14:textId="4F458E41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417AE7F2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1D5AB05E" w14:textId="1DBCC299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="00AE446D">
              <w:rPr>
                <w:rFonts w:ascii="Times New Roman" w:hAnsi="Times New Roman" w:cs="Times New Roman" w:hint="eastAsia"/>
                <w:sz w:val="18"/>
                <w:szCs w:val="18"/>
              </w:rPr>
              <w:t>bA1</w:t>
            </w:r>
            <w:r w:rsidR="00423704">
              <w:rPr>
                <w:rFonts w:ascii="Times New Roman" w:hAnsi="Times New Roman" w:cs="Times New Roman" w:hint="eastAsia"/>
                <w:sz w:val="18"/>
                <w:szCs w:val="18"/>
              </w:rPr>
              <w:t>c</w:t>
            </w:r>
            <w:r w:rsidR="00AF2A1C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AF2A1C" w:rsidRPr="00AF2A1C">
              <w:rPr>
                <w:rFonts w:ascii="Times New Roman" w:hAnsi="Times New Roman" w:cs="Times New Roman" w:hint="eastAsia"/>
                <w:sz w:val="18"/>
                <w:szCs w:val="18"/>
              </w:rPr>
              <w:t>(%)</w:t>
            </w:r>
          </w:p>
        </w:tc>
        <w:tc>
          <w:tcPr>
            <w:tcW w:w="1578" w:type="dxa"/>
            <w:noWrap/>
            <w:hideMark/>
          </w:tcPr>
          <w:p w14:paraId="3B2CCFE1" w14:textId="45C0B2EF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5.51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0.59</w:t>
            </w:r>
          </w:p>
        </w:tc>
        <w:tc>
          <w:tcPr>
            <w:tcW w:w="1540" w:type="dxa"/>
            <w:noWrap/>
            <w:hideMark/>
          </w:tcPr>
          <w:p w14:paraId="412FBA63" w14:textId="51998365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6.25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940" w:type="dxa"/>
            <w:noWrap/>
            <w:hideMark/>
          </w:tcPr>
          <w:p w14:paraId="5F0E4506" w14:textId="7A24D79F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0E311C02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232116EB" w14:textId="502D18C3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Triglycerides</w:t>
            </w:r>
            <w:r w:rsidR="00E10AD9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E10AD9" w:rsidRPr="00E10AD9">
              <w:rPr>
                <w:rFonts w:ascii="Times New Roman" w:hAnsi="Times New Roman" w:cs="Times New Roman" w:hint="eastAsia"/>
                <w:sz w:val="18"/>
                <w:szCs w:val="18"/>
              </w:rPr>
              <w:t>(mmol/L)</w:t>
            </w:r>
          </w:p>
        </w:tc>
        <w:tc>
          <w:tcPr>
            <w:tcW w:w="1578" w:type="dxa"/>
            <w:noWrap/>
            <w:hideMark/>
          </w:tcPr>
          <w:p w14:paraId="4778ED58" w14:textId="33B95CC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1.42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0.62</w:t>
            </w:r>
          </w:p>
        </w:tc>
        <w:tc>
          <w:tcPr>
            <w:tcW w:w="1540" w:type="dxa"/>
            <w:noWrap/>
            <w:hideMark/>
          </w:tcPr>
          <w:p w14:paraId="053616C0" w14:textId="439E8FCA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2.45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</w:p>
        </w:tc>
        <w:tc>
          <w:tcPr>
            <w:tcW w:w="940" w:type="dxa"/>
            <w:noWrap/>
            <w:hideMark/>
          </w:tcPr>
          <w:p w14:paraId="071365B2" w14:textId="3C7EA7DD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55C328C4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0D0C3100" w14:textId="4D094EDF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LDL</w:t>
            </w:r>
            <w:r w:rsidR="0090349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F51FED" w:rsidRPr="00F51FED">
              <w:rPr>
                <w:rFonts w:ascii="Times New Roman" w:hAnsi="Times New Roman" w:cs="Times New Roman" w:hint="eastAsia"/>
                <w:sz w:val="18"/>
                <w:szCs w:val="18"/>
              </w:rPr>
              <w:t>(mmol/L)</w:t>
            </w:r>
          </w:p>
        </w:tc>
        <w:tc>
          <w:tcPr>
            <w:tcW w:w="1578" w:type="dxa"/>
            <w:noWrap/>
            <w:hideMark/>
          </w:tcPr>
          <w:p w14:paraId="27C0904A" w14:textId="55A34D8A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2.01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0.59</w:t>
            </w:r>
          </w:p>
        </w:tc>
        <w:tc>
          <w:tcPr>
            <w:tcW w:w="1540" w:type="dxa"/>
            <w:noWrap/>
            <w:hideMark/>
          </w:tcPr>
          <w:p w14:paraId="216C1EB5" w14:textId="379ECF90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2.94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0.73</w:t>
            </w:r>
          </w:p>
        </w:tc>
        <w:tc>
          <w:tcPr>
            <w:tcW w:w="940" w:type="dxa"/>
            <w:noWrap/>
            <w:hideMark/>
          </w:tcPr>
          <w:p w14:paraId="4BE2C598" w14:textId="4606808B" w:rsidR="006F0B46" w:rsidRPr="00A616DF" w:rsidRDefault="004428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 w:hint="eastAsia"/>
                <w:sz w:val="18"/>
                <w:szCs w:val="18"/>
              </w:rPr>
              <w:t>&lt; 0.001</w:t>
            </w:r>
          </w:p>
        </w:tc>
      </w:tr>
      <w:tr w:rsidR="006F0B46" w:rsidRPr="00A616DF" w14:paraId="5F7DFF7E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3AFFCB28" w14:textId="2C75037A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Fibrinogen</w:t>
            </w:r>
            <w:r w:rsidR="00651CF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651CF8" w:rsidRPr="00651CF8">
              <w:rPr>
                <w:rFonts w:ascii="Times New Roman" w:hAnsi="Times New Roman" w:cs="Times New Roman" w:hint="eastAsia"/>
                <w:sz w:val="18"/>
                <w:szCs w:val="18"/>
              </w:rPr>
              <w:t>(g/L)</w:t>
            </w:r>
          </w:p>
        </w:tc>
        <w:tc>
          <w:tcPr>
            <w:tcW w:w="1578" w:type="dxa"/>
            <w:noWrap/>
            <w:hideMark/>
          </w:tcPr>
          <w:p w14:paraId="0221A337" w14:textId="0643216C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2.83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0.49</w:t>
            </w:r>
          </w:p>
        </w:tc>
        <w:tc>
          <w:tcPr>
            <w:tcW w:w="1540" w:type="dxa"/>
            <w:noWrap/>
            <w:hideMark/>
          </w:tcPr>
          <w:p w14:paraId="5F7F14C0" w14:textId="1477992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166E5">
              <w:rPr>
                <w:rFonts w:ascii="Times New Roman" w:hAnsi="Times New Roman" w:cs="Times New Roman" w:hint="eastAsia"/>
                <w:sz w:val="18"/>
                <w:szCs w:val="18"/>
              </w:rPr>
              <w:t>.00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="00667EB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0.53</w:t>
            </w:r>
          </w:p>
        </w:tc>
        <w:tc>
          <w:tcPr>
            <w:tcW w:w="940" w:type="dxa"/>
            <w:noWrap/>
            <w:hideMark/>
          </w:tcPr>
          <w:p w14:paraId="294BE431" w14:textId="3E270BDA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0.039</w:t>
            </w:r>
          </w:p>
        </w:tc>
      </w:tr>
      <w:tr w:rsidR="006F0B46" w:rsidRPr="00A616DF" w14:paraId="3C267495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06DAE290" w14:textId="5B331DED" w:rsidR="006F0B46" w:rsidRPr="00A616DF" w:rsidRDefault="00813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SEX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403D1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(Male), </w:t>
            </w:r>
            <w:r w:rsidRPr="00403D1D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Pr="00403D1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(%)</w:t>
            </w:r>
          </w:p>
        </w:tc>
        <w:tc>
          <w:tcPr>
            <w:tcW w:w="1578" w:type="dxa"/>
            <w:noWrap/>
            <w:hideMark/>
          </w:tcPr>
          <w:p w14:paraId="16326DA1" w14:textId="007FEB9F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(57.4%)</w:t>
            </w:r>
          </w:p>
        </w:tc>
        <w:tc>
          <w:tcPr>
            <w:tcW w:w="1540" w:type="dxa"/>
            <w:noWrap/>
            <w:hideMark/>
          </w:tcPr>
          <w:p w14:paraId="27A47F9F" w14:textId="067DB81C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(55.7%)</w:t>
            </w:r>
          </w:p>
        </w:tc>
        <w:tc>
          <w:tcPr>
            <w:tcW w:w="940" w:type="dxa"/>
            <w:noWrap/>
            <w:hideMark/>
          </w:tcPr>
          <w:p w14:paraId="6CC0D133" w14:textId="7D547247" w:rsidR="006F0B46" w:rsidRPr="00A616DF" w:rsidRDefault="00B54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0.965</w:t>
            </w:r>
          </w:p>
        </w:tc>
      </w:tr>
      <w:tr w:rsidR="006F0B46" w:rsidRPr="00A616DF" w14:paraId="161B8B82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266ABD3D" w14:textId="1732443E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Hypertension</w:t>
            </w:r>
            <w:r w:rsidR="00EF2FC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, </w:t>
            </w:r>
            <w:r w:rsidR="00EF2FCD" w:rsidRPr="00EF2FCD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="00EF2FCD" w:rsidRPr="00EF2FC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(%)</w:t>
            </w:r>
          </w:p>
        </w:tc>
        <w:tc>
          <w:tcPr>
            <w:tcW w:w="1578" w:type="dxa"/>
            <w:noWrap/>
            <w:hideMark/>
          </w:tcPr>
          <w:p w14:paraId="67EA941D" w14:textId="467EE29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(58.5%)</w:t>
            </w:r>
          </w:p>
        </w:tc>
        <w:tc>
          <w:tcPr>
            <w:tcW w:w="1540" w:type="dxa"/>
            <w:noWrap/>
            <w:hideMark/>
          </w:tcPr>
          <w:p w14:paraId="2D411D43" w14:textId="1609869B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(65.6%)</w:t>
            </w:r>
          </w:p>
        </w:tc>
        <w:tc>
          <w:tcPr>
            <w:tcW w:w="940" w:type="dxa"/>
            <w:noWrap/>
            <w:hideMark/>
          </w:tcPr>
          <w:p w14:paraId="360C6F6D" w14:textId="3737B724" w:rsidR="006F0B46" w:rsidRPr="00A616DF" w:rsidRDefault="004E74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0.476</w:t>
            </w:r>
          </w:p>
        </w:tc>
      </w:tr>
      <w:tr w:rsidR="0081373A" w:rsidRPr="00A616DF" w14:paraId="14812C98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5F7C97DF" w14:textId="06BDDF4F" w:rsidR="0081373A" w:rsidRPr="00A616DF" w:rsidRDefault="0081373A" w:rsidP="00813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Smoking history</w:t>
            </w:r>
            <w:r w:rsidR="001C02EA"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7867EA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Pr="009C29D4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(%)</w:t>
            </w:r>
          </w:p>
        </w:tc>
        <w:tc>
          <w:tcPr>
            <w:tcW w:w="1578" w:type="dxa"/>
            <w:noWrap/>
            <w:hideMark/>
          </w:tcPr>
          <w:p w14:paraId="49DB2C4A" w14:textId="0CC6AA2C" w:rsidR="0081373A" w:rsidRPr="00A616DF" w:rsidRDefault="0081373A" w:rsidP="00813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(16</w:t>
            </w:r>
            <w:r w:rsidR="00457AA2">
              <w:rPr>
                <w:rFonts w:ascii="Times New Roman" w:hAnsi="Times New Roman" w:cs="Times New Roman" w:hint="eastAsia"/>
                <w:sz w:val="18"/>
                <w:szCs w:val="18"/>
              </w:rPr>
              <w:t>.0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1540" w:type="dxa"/>
            <w:noWrap/>
            <w:hideMark/>
          </w:tcPr>
          <w:p w14:paraId="783EEA65" w14:textId="4A22043D" w:rsidR="0081373A" w:rsidRPr="00A616DF" w:rsidRDefault="0081373A" w:rsidP="00813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(24.6%)</w:t>
            </w:r>
          </w:p>
        </w:tc>
        <w:tc>
          <w:tcPr>
            <w:tcW w:w="940" w:type="dxa"/>
            <w:noWrap/>
            <w:hideMark/>
          </w:tcPr>
          <w:p w14:paraId="20B32AE4" w14:textId="7E841976" w:rsidR="0081373A" w:rsidRPr="00A616DF" w:rsidRDefault="004E7464" w:rsidP="00813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0.262</w:t>
            </w:r>
          </w:p>
        </w:tc>
      </w:tr>
      <w:tr w:rsidR="006F0B46" w:rsidRPr="00A616DF" w14:paraId="575AE01E" w14:textId="77777777" w:rsidTr="00782AB5">
        <w:trPr>
          <w:trHeight w:val="292"/>
          <w:jc w:val="center"/>
        </w:trPr>
        <w:tc>
          <w:tcPr>
            <w:tcW w:w="2127" w:type="dxa"/>
            <w:noWrap/>
            <w:hideMark/>
          </w:tcPr>
          <w:p w14:paraId="607FC032" w14:textId="3D2C853A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Myocardial bridge</w:t>
            </w:r>
            <w:r w:rsidR="001C02EA"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  <w:r w:rsidR="00E071B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E071BA" w:rsidRPr="00E071BA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="00E071BA" w:rsidRPr="00E071BA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(%)</w:t>
            </w:r>
          </w:p>
        </w:tc>
        <w:tc>
          <w:tcPr>
            <w:tcW w:w="1578" w:type="dxa"/>
            <w:noWrap/>
            <w:hideMark/>
          </w:tcPr>
          <w:p w14:paraId="1FFD257E" w14:textId="3C7B2297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(30.9%)</w:t>
            </w:r>
          </w:p>
        </w:tc>
        <w:tc>
          <w:tcPr>
            <w:tcW w:w="1540" w:type="dxa"/>
            <w:noWrap/>
            <w:hideMark/>
          </w:tcPr>
          <w:p w14:paraId="4D9418C2" w14:textId="696B0815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(36.1%)</w:t>
            </w:r>
          </w:p>
        </w:tc>
        <w:tc>
          <w:tcPr>
            <w:tcW w:w="940" w:type="dxa"/>
            <w:noWrap/>
            <w:hideMark/>
          </w:tcPr>
          <w:p w14:paraId="458696FA" w14:textId="7125CE8E" w:rsidR="006F0B46" w:rsidRPr="00A616DF" w:rsidRDefault="004E74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0.617</w:t>
            </w:r>
          </w:p>
        </w:tc>
      </w:tr>
      <w:tr w:rsidR="006F0B46" w:rsidRPr="00A616DF" w14:paraId="14207BA9" w14:textId="77777777" w:rsidTr="00782AB5">
        <w:trPr>
          <w:trHeight w:val="292"/>
          <w:jc w:val="center"/>
        </w:trPr>
        <w:tc>
          <w:tcPr>
            <w:tcW w:w="2127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0B4A6ABE" w14:textId="1364B837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CMD</w:t>
            </w:r>
            <w:r w:rsidR="006123B2">
              <w:rPr>
                <w:rFonts w:ascii="Times New Roman" w:hAnsi="Times New Roman" w:cs="Times New Roman" w:hint="eastAsia"/>
                <w:sz w:val="18"/>
                <w:szCs w:val="18"/>
              </w:rPr>
              <w:t>,</w:t>
            </w:r>
            <w:r w:rsidR="007C0E7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7C0E7D" w:rsidRPr="007C0E7D"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n</w:t>
            </w:r>
            <w:r w:rsidR="007C0E7D" w:rsidRPr="007C0E7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(%)</w:t>
            </w:r>
          </w:p>
        </w:tc>
        <w:tc>
          <w:tcPr>
            <w:tcW w:w="1578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40EDAB5A" w14:textId="5AEAD511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(42.6%)</w:t>
            </w:r>
          </w:p>
        </w:tc>
        <w:tc>
          <w:tcPr>
            <w:tcW w:w="1540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78D37B9A" w14:textId="7DFCE1B0" w:rsidR="006F0B46" w:rsidRPr="00A616DF" w:rsidRDefault="006F0B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1E1B0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A616DF">
              <w:rPr>
                <w:rFonts w:ascii="Times New Roman" w:hAnsi="Times New Roman" w:cs="Times New Roman"/>
                <w:sz w:val="18"/>
                <w:szCs w:val="18"/>
              </w:rPr>
              <w:t>(67.2%)</w:t>
            </w:r>
          </w:p>
        </w:tc>
        <w:tc>
          <w:tcPr>
            <w:tcW w:w="940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6439AFF7" w14:textId="1FFCBE8E" w:rsidR="006F0B46" w:rsidRPr="00A616DF" w:rsidRDefault="00B54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0.005</w:t>
            </w:r>
          </w:p>
        </w:tc>
      </w:tr>
    </w:tbl>
    <w:p w14:paraId="216537EF" w14:textId="54241E75" w:rsidR="00F573DF" w:rsidRPr="00A5292B" w:rsidRDefault="00294B2C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Supplementary </w:t>
      </w:r>
      <w:r w:rsidRPr="00A5292B">
        <w:rPr>
          <w:rFonts w:ascii="Times New Roman" w:hAnsi="Times New Roman" w:cs="Times New Roman" w:hint="eastAsia"/>
          <w:b/>
          <w:bCs/>
          <w:sz w:val="21"/>
          <w:szCs w:val="21"/>
        </w:rPr>
        <w:t>Table</w:t>
      </w:r>
      <w:r w:rsidRPr="00A5292B">
        <w:rPr>
          <w:rFonts w:ascii="Times New Roman" w:hAnsi="Times New Roman" w:cs="Times New Roman"/>
          <w:b/>
          <w:bCs/>
          <w:sz w:val="21"/>
          <w:szCs w:val="21"/>
        </w:rPr>
        <w:t xml:space="preserve"> 1</w:t>
      </w:r>
      <w:r w:rsidR="005F2F23" w:rsidRPr="00A5292B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C10F69" w:rsidRPr="00C10F69">
        <w:rPr>
          <w:rFonts w:ascii="Times New Roman" w:hAnsi="Times New Roman" w:cs="Times New Roman" w:hint="eastAsia"/>
          <w:sz w:val="21"/>
          <w:szCs w:val="21"/>
        </w:rPr>
        <w:t>Clinical and imaging characteristics across machine learning-derived clusters. Cluster 2 represents a h</w:t>
      </w:r>
      <w:bookmarkStart w:id="0" w:name="_GoBack"/>
      <w:bookmarkEnd w:id="0"/>
      <w:r w:rsidR="00C10F69" w:rsidRPr="00C10F69">
        <w:rPr>
          <w:rFonts w:ascii="Times New Roman" w:hAnsi="Times New Roman" w:cs="Times New Roman" w:hint="eastAsia"/>
          <w:sz w:val="21"/>
          <w:szCs w:val="21"/>
        </w:rPr>
        <w:t>igh-risk phenotype: characterized by elevated LAAV% and severe microvascular impairment (confirmed via invasive IMR/CFR). These findings align unsupervised phenotyping with clinical gold standards.</w:t>
      </w:r>
    </w:p>
    <w:sectPr w:rsidR="00F573DF" w:rsidRPr="00A52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94F7" w14:textId="77777777" w:rsidR="00F050D1" w:rsidRDefault="00F050D1" w:rsidP="007B5086">
      <w:pPr>
        <w:spacing w:after="0" w:line="240" w:lineRule="auto"/>
      </w:pPr>
      <w:r>
        <w:separator/>
      </w:r>
    </w:p>
  </w:endnote>
  <w:endnote w:type="continuationSeparator" w:id="0">
    <w:p w14:paraId="502588FD" w14:textId="77777777" w:rsidR="00F050D1" w:rsidRDefault="00F050D1" w:rsidP="007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F19C5" w14:textId="77777777" w:rsidR="00F050D1" w:rsidRDefault="00F050D1" w:rsidP="007B5086">
      <w:pPr>
        <w:spacing w:after="0" w:line="240" w:lineRule="auto"/>
      </w:pPr>
      <w:r>
        <w:separator/>
      </w:r>
    </w:p>
  </w:footnote>
  <w:footnote w:type="continuationSeparator" w:id="0">
    <w:p w14:paraId="5B58E68E" w14:textId="77777777" w:rsidR="00F050D1" w:rsidRDefault="00F050D1" w:rsidP="007B5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101A8"/>
    <w:multiLevelType w:val="multilevel"/>
    <w:tmpl w:val="5CEE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330AE5"/>
    <w:multiLevelType w:val="multilevel"/>
    <w:tmpl w:val="56D45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60"/>
    <w:rsid w:val="00001886"/>
    <w:rsid w:val="0004100D"/>
    <w:rsid w:val="000541CE"/>
    <w:rsid w:val="00067CBC"/>
    <w:rsid w:val="000911C6"/>
    <w:rsid w:val="000A2F0C"/>
    <w:rsid w:val="000B09DB"/>
    <w:rsid w:val="000F694D"/>
    <w:rsid w:val="000F7FD4"/>
    <w:rsid w:val="0015201D"/>
    <w:rsid w:val="00197745"/>
    <w:rsid w:val="001A1264"/>
    <w:rsid w:val="001B32A1"/>
    <w:rsid w:val="001C02EA"/>
    <w:rsid w:val="001E1B05"/>
    <w:rsid w:val="001F65CD"/>
    <w:rsid w:val="002034E3"/>
    <w:rsid w:val="00203520"/>
    <w:rsid w:val="002166E5"/>
    <w:rsid w:val="0023020B"/>
    <w:rsid w:val="00234EDE"/>
    <w:rsid w:val="002458AE"/>
    <w:rsid w:val="00247ABE"/>
    <w:rsid w:val="00260FBC"/>
    <w:rsid w:val="00271E13"/>
    <w:rsid w:val="00272AFD"/>
    <w:rsid w:val="00294B2C"/>
    <w:rsid w:val="002A2500"/>
    <w:rsid w:val="002C5C57"/>
    <w:rsid w:val="002F1C6E"/>
    <w:rsid w:val="00307640"/>
    <w:rsid w:val="00311AD2"/>
    <w:rsid w:val="003450DF"/>
    <w:rsid w:val="00363889"/>
    <w:rsid w:val="003678B7"/>
    <w:rsid w:val="00392972"/>
    <w:rsid w:val="0039468B"/>
    <w:rsid w:val="00396291"/>
    <w:rsid w:val="003B0BE3"/>
    <w:rsid w:val="003C0C40"/>
    <w:rsid w:val="003D29DE"/>
    <w:rsid w:val="003E6884"/>
    <w:rsid w:val="003F31D4"/>
    <w:rsid w:val="003F4B33"/>
    <w:rsid w:val="00403D1D"/>
    <w:rsid w:val="00403FCD"/>
    <w:rsid w:val="00423704"/>
    <w:rsid w:val="004404B7"/>
    <w:rsid w:val="004428D3"/>
    <w:rsid w:val="00457AA2"/>
    <w:rsid w:val="00462EC9"/>
    <w:rsid w:val="00496D25"/>
    <w:rsid w:val="004B668F"/>
    <w:rsid w:val="004C6A02"/>
    <w:rsid w:val="004E7464"/>
    <w:rsid w:val="004F3C1A"/>
    <w:rsid w:val="00534BB1"/>
    <w:rsid w:val="00537A1E"/>
    <w:rsid w:val="00545E24"/>
    <w:rsid w:val="0055587D"/>
    <w:rsid w:val="00564202"/>
    <w:rsid w:val="0057039F"/>
    <w:rsid w:val="00593E72"/>
    <w:rsid w:val="0059569E"/>
    <w:rsid w:val="005C2770"/>
    <w:rsid w:val="005E4CA4"/>
    <w:rsid w:val="005F2F23"/>
    <w:rsid w:val="005F6C9C"/>
    <w:rsid w:val="00600F1D"/>
    <w:rsid w:val="006123B2"/>
    <w:rsid w:val="00651CF8"/>
    <w:rsid w:val="006545E7"/>
    <w:rsid w:val="00667EBB"/>
    <w:rsid w:val="0067438A"/>
    <w:rsid w:val="00692F2B"/>
    <w:rsid w:val="006C1F95"/>
    <w:rsid w:val="006E46FE"/>
    <w:rsid w:val="006F0B46"/>
    <w:rsid w:val="006F6AB6"/>
    <w:rsid w:val="00701632"/>
    <w:rsid w:val="007074D9"/>
    <w:rsid w:val="00766B33"/>
    <w:rsid w:val="00782AB5"/>
    <w:rsid w:val="007867EA"/>
    <w:rsid w:val="00792A40"/>
    <w:rsid w:val="007A002B"/>
    <w:rsid w:val="007B414A"/>
    <w:rsid w:val="007B5086"/>
    <w:rsid w:val="007C0E7D"/>
    <w:rsid w:val="0081373A"/>
    <w:rsid w:val="00837520"/>
    <w:rsid w:val="00846098"/>
    <w:rsid w:val="00873FBD"/>
    <w:rsid w:val="00884B0D"/>
    <w:rsid w:val="00895ED4"/>
    <w:rsid w:val="008A1946"/>
    <w:rsid w:val="008A4EDE"/>
    <w:rsid w:val="0090349E"/>
    <w:rsid w:val="00940F9D"/>
    <w:rsid w:val="009626B2"/>
    <w:rsid w:val="009742C3"/>
    <w:rsid w:val="009A7FE4"/>
    <w:rsid w:val="009C29D4"/>
    <w:rsid w:val="009D32E1"/>
    <w:rsid w:val="009D5291"/>
    <w:rsid w:val="009E78CF"/>
    <w:rsid w:val="00A04AD0"/>
    <w:rsid w:val="00A35923"/>
    <w:rsid w:val="00A4011F"/>
    <w:rsid w:val="00A5292B"/>
    <w:rsid w:val="00A616DF"/>
    <w:rsid w:val="00AB0A44"/>
    <w:rsid w:val="00AE446D"/>
    <w:rsid w:val="00AF2A1C"/>
    <w:rsid w:val="00B05F95"/>
    <w:rsid w:val="00B54296"/>
    <w:rsid w:val="00B54DD4"/>
    <w:rsid w:val="00B612EA"/>
    <w:rsid w:val="00BB34B0"/>
    <w:rsid w:val="00BD1A70"/>
    <w:rsid w:val="00BE22A0"/>
    <w:rsid w:val="00BF5962"/>
    <w:rsid w:val="00C10F69"/>
    <w:rsid w:val="00C2342F"/>
    <w:rsid w:val="00C24458"/>
    <w:rsid w:val="00C27BCD"/>
    <w:rsid w:val="00C4403D"/>
    <w:rsid w:val="00C478FB"/>
    <w:rsid w:val="00C56813"/>
    <w:rsid w:val="00C676CB"/>
    <w:rsid w:val="00C76F97"/>
    <w:rsid w:val="00C85D9E"/>
    <w:rsid w:val="00CC2D16"/>
    <w:rsid w:val="00CD4329"/>
    <w:rsid w:val="00CE48FB"/>
    <w:rsid w:val="00D02178"/>
    <w:rsid w:val="00D17860"/>
    <w:rsid w:val="00D51897"/>
    <w:rsid w:val="00D9550F"/>
    <w:rsid w:val="00DB4DA3"/>
    <w:rsid w:val="00DE0793"/>
    <w:rsid w:val="00E071BA"/>
    <w:rsid w:val="00E10AD9"/>
    <w:rsid w:val="00E9433D"/>
    <w:rsid w:val="00EA21BA"/>
    <w:rsid w:val="00EB7AA0"/>
    <w:rsid w:val="00EF2FCD"/>
    <w:rsid w:val="00F050D1"/>
    <w:rsid w:val="00F174CD"/>
    <w:rsid w:val="00F51FED"/>
    <w:rsid w:val="00F573DF"/>
    <w:rsid w:val="00FB6F7C"/>
    <w:rsid w:val="00FC1250"/>
    <w:rsid w:val="00FC7CA3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F90D"/>
  <w14:defaultImageDpi w14:val="330"/>
  <w15:chartTrackingRefBased/>
  <w15:docId w15:val="{29184F38-1E6D-4B31-963C-63EA10E1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1786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8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86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86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86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86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86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86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786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7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7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786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786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1786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786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786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786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786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7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786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78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7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78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786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786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7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786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1786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B508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B508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B508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B5086"/>
    <w:rPr>
      <w:sz w:val="18"/>
      <w:szCs w:val="18"/>
    </w:rPr>
  </w:style>
  <w:style w:type="table" w:styleId="af2">
    <w:name w:val="Table Grid"/>
    <w:basedOn w:val="a1"/>
    <w:uiPriority w:val="39"/>
    <w:rsid w:val="006F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辉 丁</dc:creator>
  <cp:keywords/>
  <dc:description/>
  <cp:lastModifiedBy>Yara </cp:lastModifiedBy>
  <cp:revision>128</cp:revision>
  <dcterms:created xsi:type="dcterms:W3CDTF">2026-01-22T14:54:00Z</dcterms:created>
  <dcterms:modified xsi:type="dcterms:W3CDTF">2026-06-04T01:54:00Z</dcterms:modified>
</cp:coreProperties>
</file>